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85B" w:rsidRPr="0016585B" w:rsidRDefault="0016585B" w:rsidP="0016585B">
      <w:pPr>
        <w:shd w:val="clear" w:color="auto" w:fill="FFFFFF"/>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NGHIỆP VỤ CHO VAY CÓ BẢO ĐẢM BẰNG CẦM CỐ GTCG CỦA NHNN ĐỐI VỚI CÁC NGÂN HÀNG</w:t>
      </w:r>
    </w:p>
    <w:p w:rsidR="0016585B" w:rsidRPr="0016585B" w:rsidRDefault="0016585B" w:rsidP="0016585B">
      <w:pPr>
        <w:shd w:val="clear" w:color="auto" w:fill="FFFFFF"/>
        <w:spacing w:after="0" w:line="240" w:lineRule="auto"/>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1. </w:t>
      </w:r>
      <w:r w:rsidRPr="0016585B">
        <w:rPr>
          <w:rFonts w:ascii="Times New Roman" w:eastAsia="Times New Roman" w:hAnsi="Times New Roman" w:cs="Times New Roman"/>
          <w:color w:val="000000"/>
          <w:sz w:val="26"/>
          <w:szCs w:val="26"/>
        </w:rPr>
        <w:t>Cho vay có bảo đảm bằng cầm cố giấy tờ có giá (GTCG) (sau đây gọi tắt là cho vay cầm cố) là hình thức cho vay của Ngân hàng Nhà nước Việt Nam (sau đây gọi tắt là NHNN) đối với các ngân hàng trên cơ sở cầm cố GTCG thuộc sở hữu của ngân hàng để đảm bảo nghĩa vụ trả nợ.</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Cầm cố GTCG là việc NHNN nắm giữ bản gốc GTCG, hoặc yêu cầu ngân hàng chuyển khoản GTCG vào tài khoản của NHNN mở tại Trung tâm giao dịch chứng khoán để đảm bảo thực hiện nghĩa vụ trả nợ cho một hay nhiều khoản vay cầm cố của ngân hàng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2. Lãi suất cho vay cầm cố:</w:t>
      </w:r>
      <w:r w:rsidRPr="0016585B">
        <w:rPr>
          <w:rFonts w:ascii="Times New Roman" w:eastAsia="Times New Roman" w:hAnsi="Times New Roman" w:cs="Times New Roman"/>
          <w:color w:val="000000"/>
          <w:sz w:val="26"/>
          <w:szCs w:val="26"/>
        </w:rPr>
        <w:t> là lãi suất tái cấp vốn mà NHNN áp dụng khi thực hiện cho vay cầm cố đối với các ngân hàng tại thời điểm giải ngân khoản vay và duy trì trong suốt thời hạn cho vay. Lãi suất tái cấp vốn được NHNN công bố trong từng thời kỳ.</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Trường hợp dư nợ vay cầm cố bị chuyển sang nợ quá hạn thì ngân hàng phải chịu lãi suất quá hạn bằng 150% lãi suất cho vay ghi trên hợp đồng tín dụng.</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3. Đối tượng được vay cầm cố tại NHNN:</w:t>
      </w:r>
      <w:r w:rsidRPr="0016585B">
        <w:rPr>
          <w:rFonts w:ascii="Times New Roman" w:eastAsia="Times New Roman" w:hAnsi="Times New Roman" w:cs="Times New Roman"/>
          <w:color w:val="000000"/>
          <w:sz w:val="26"/>
          <w:szCs w:val="26"/>
        </w:rPr>
        <w:t> gồm các tổ chức tín dụng là ngân hàng được thành lập và hoạt động theo Luật Các tổ chức tín dụng; hoặc các tổ chức tín dụng không phải là ngân hàng khi được Thủ tướng Chính phủ cho phép (gọi tắt là tổ chức tín dụng được phép).</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Các đối tượng được vay cầm cố tại NHNN phải có đủ các điều kiện cho vay cầm cố, gồm:</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Là các tổ chức tín dụng được phép và không bị đặt vào tình trạng kiểm soát đặc biệt;</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Có GTCG đủ tiêu chuẩn cầm cố theo quy định của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Có hồ sơ đề nghị vay cầm cố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Không có dư nợ quá hạn tại NHNN tại thời điểm xin vay;</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Có cam kết về sử dụng tiền vay cầm cố đúng mục đích và trả nợ (gốc và lãi) cho NHNN đúng thời gian quy định.</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4. Nguyên tắc cho vay cầm cố:</w:t>
      </w:r>
      <w:r w:rsidRPr="0016585B">
        <w:rPr>
          <w:rFonts w:ascii="Times New Roman" w:eastAsia="Times New Roman" w:hAnsi="Times New Roman" w:cs="Times New Roman"/>
          <w:color w:val="000000"/>
          <w:sz w:val="26"/>
          <w:szCs w:val="26"/>
        </w:rPr>
        <w:t> Việc cho vay cầm cố của NHNN đối với các ngân hàng thực hiện theo các nguyên tắc sau:</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Khoản cho vay cầm cố được bảo đảm bằng các GTCG đủ tiêu chuẩn theo quy định của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Cho vay cầm cố giấy tờ có giá nhằm cung ứng vốn ngắn hạn và phương tiện thanh toán cho các ngân hàng tạm thời thiếu hụt khả năng thanh khoản;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Ngân hàng được vay cầm cố phải hoàn trả vốn vay NHNN (cả gốc và lãi) đầy đủ và đúng hạn.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lastRenderedPageBreak/>
        <w:t>5. Danh mục GTCG được cầm cố:</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Tín phiếu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Trái phiếu Chính phủ gồm: Tín phiếu Kho bạc, Trái phiếu Kho bạc, Trái phiếu công trình Trung ương, Công trái xây dựng Tổ quốc, Trái phiếu Chính phủ do Ngân hàng Phát triển Việt Nam (trước đây là Quỹ hỗ trợ phát triển) được Thủ tướng Chính phủ chỉ định phát hành;</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Trái phiếu được Chính phủ bảo lãnh gồm: Trái phiếu do Ngân hàng Phát triển Việt Nam phát hành được Chính phủ bảo lãnh thanh toán 100% giá trị gốc, lãi khi đến hạn; Trái phiếu do Ngân hàng Chính sách xã hội phát hành được Chính phủ bảo lãnh thanh toán 100% giá trị gốc, lãi khi đến hạn;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Trái phiếu Chính quyền địa phương do Ủy ban nhân dân thành phố Hà Nội và Ủy ban nhân dân thành phố Hồ Chí Minh phát hành;</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Trái phiếu Chính phủ bằng ngoại tệ (trong trường hợp TCTD đã sử dụng hết giấy tờ có giá cấp I và II)</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Các GTCG khác do Thống đốc NHNN quy định trong từng thời kỳ.</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6. GTCG phải có đủ các điều kiện sau:</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Lưu ký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Thuộc quyền sở hữu hợp pháp của TCTD;</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Tổ chức phát hành không được sử dụng các loại GTCG do tổ chức đó phát hành để tham gia giao dịch với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Có thời hạn còn lại tối thiểu bằng thời gian vay.</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7. Thứ tự ưu tiên và tỷ lệ giữa giá trị GTCG và số tiền vay có bảo đảm bằng cầm cố GTCG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Tín phiếu NHNN, Trái phiếu Chính phủ, Trái phiếu được Chính phủ bảo lãnh là GTCG cấp 1 và phải có giá trị tối thiểu bằng 105% số tiền vay cầm cố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Trái phiếu Chính quyền địa phương là GTCG cấp 2 và phải có giá trị tối thiểu bằng 120% số tiền vay cầm cố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8. Thời hạn cho vay cầm cố:</w:t>
      </w:r>
      <w:r w:rsidRPr="0016585B">
        <w:rPr>
          <w:rFonts w:ascii="Times New Roman" w:eastAsia="Times New Roman" w:hAnsi="Times New Roman" w:cs="Times New Roman"/>
          <w:color w:val="000000"/>
          <w:sz w:val="26"/>
          <w:szCs w:val="26"/>
        </w:rPr>
        <w:t> NHNN cho vay cầm cố đối với các ngân hàng tối đa là 1 năm. Căn cứ mục đích vay vốn của ngân hàng, NHNN quyết định thời hạn cho vay, kỳ hạn thu hồi nợ trong từng trường hợp cụ thể.</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Trường hợp đặc biệt, NHNN có thể xem xét gia hạn khoản vay cầm cố nhưng thời gian gia hạn không vượt quá thời hạn cho vay lần đầu.</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9. Mức cho vay cầm cố:</w:t>
      </w:r>
      <w:r w:rsidRPr="0016585B">
        <w:rPr>
          <w:rFonts w:ascii="Times New Roman" w:eastAsia="Times New Roman" w:hAnsi="Times New Roman" w:cs="Times New Roman"/>
          <w:color w:val="000000"/>
          <w:sz w:val="26"/>
          <w:szCs w:val="26"/>
        </w:rPr>
        <w:t> Căn cứ mục tiêu chính sách tiền tệ trong từng thời kỳ, nhu cầu vay vốn, giá trị GTCG làm bảo đảm và dư nợ các khoản vay khác của ngân hàng tại NHNN, NHNN quyết định mức cho vay cầm cố đối với ngân hàng xin vay. Mức cho vay tối đa không vượt quá giá trị GTCG làm bảo đảm được quy đổi theo quy định của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lastRenderedPageBreak/>
        <w:t>10. Hồ sơ đề nghị cầm cố:</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Giấy đề nghị vay cầm cố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Bảng kê các GTCG đề nghị cầm cố để vay vốn tại NHNN có xác nhận của tổ chức phát hành, đại lý phát hành hoặc tổ chức lưu ký;</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Một số chỉ tiêu về nguồn vốn và sử dụng vốn của ngân hàng; Tình hình giao dịch của ngân hàng với NHNN; Bảng tính toán nhu cầu vay vốn VND từ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Bảng cân đối kế toán của ngân hàng tại thời điểm gần nhất.</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11. Trả nợ vay cầm cố:</w:t>
      </w:r>
      <w:r w:rsidRPr="0016585B">
        <w:rPr>
          <w:rFonts w:ascii="Times New Roman" w:eastAsia="Times New Roman" w:hAnsi="Times New Roman" w:cs="Times New Roman"/>
          <w:color w:val="000000"/>
          <w:sz w:val="26"/>
          <w:szCs w:val="26"/>
        </w:rPr>
        <w:t> Khi đến kỳ hạn trả nợ, các ngân hàng thanh toán gốc và lãi khoản vay cầm cố cho NHNN và nhận lại GTCG. Trường hợp đến kỳ hạn trở nợ (gốc hoặc lãi) mà ngân hàng không trả được nợ thì NHNN sẽ thực hiện các biện pháp để thu hồi nợ bắt buộc (gốc và lãi).</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Trong trường hợp sau khi NHNN đã thực hiện các biện pháp để thu hồi nợ nhưng vẫn không đủ để thu hồi hết nợ, NHNN sẽ chuyển phần nợ còn lại sang nợ quá hạn và áp dụng lãi suất quá hạn. Đồng thời, NHNN có thể bán hoặc thanh toán với người phát hành các GTCG cầm cố trên thị trường tiền tệ để thu hồi nợ quá hạn của ngân hàng vay.</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12. Quy trình thực hiện: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Khi có nhu cầu vay cầm cố, ngân hàng gửi tới NHNN (Vụ Tín dụng)  bộ hồ sơ đề nghị vay cầm cố; Vụ Tín dụng gửi thông báo cho vay cho ngân hàng xin vay và Sở Giao dịch hoặc NHNN chi nhánh tỉnh, thành phố được Thống đốc ủy quyền.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T</w:t>
      </w:r>
      <w:r w:rsidRPr="0016585B">
        <w:rPr>
          <w:rFonts w:ascii="Times New Roman" w:eastAsia="Times New Roman" w:hAnsi="Times New Roman" w:cs="Times New Roman"/>
          <w:color w:val="000000"/>
          <w:sz w:val="26"/>
          <w:szCs w:val="26"/>
        </w:rPr>
        <w:t>rong thời hạn tối đa 02 ngày làm việc kể từ ngày nhận được đủ hồ sơ hợp lệ đề nghị vay cầm cố, NHNN xem xét và thông báo bằng văn bản cho ngân hàng xin vay về việc chấp thuận hay không chấp thuận cho vay cầm cố.</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b/>
          <w:bCs/>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Sau khi nhận được thông báo về việc chấp thuận cho vay cầm cố của NHNN, ngân hàng xin vay phải tiến hành chuyển giao các GTCG để làm tài sản cầm cố cho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Sau đó, NHNN thực hiện cầm cố các GTCG theo đúng danh mục GTCG đã được phê duyệt, ký hợp đồng tín dụng và thực hiện giải ngân theo quy định.</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Khi ngân hàng trả hết nợ vay gốc và lãi, NHNN sẽ hoàn trả cho ngân hàng các GTCG đã được sử dụng làm tài sản cầm cố.</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Đối với các ngân hàng có trụ sở chính tại thành phố Hà Nội, việc cho vay cầm cố được thực hiện tại Sở Giao dịch NHNN. Sở Giao dịch NHNN căn cứ vào hồ sơ chấp thuận cho vay cầm cố đã được Thống đốc NHNN phê duyệt tiến hành làm thủ tục nhận cầm cố, ký hợp đồng tín dụng với ngân hàng và chuyển số tiền cho vay vào tài khoản tiền gửi của ngân hàng tại NHNN.</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t> </w:t>
      </w:r>
    </w:p>
    <w:p w:rsidR="0016585B" w:rsidRPr="0016585B" w:rsidRDefault="0016585B" w:rsidP="0016585B">
      <w:pPr>
        <w:shd w:val="clear" w:color="auto" w:fill="FFFFFF"/>
        <w:spacing w:after="0" w:line="240" w:lineRule="auto"/>
        <w:jc w:val="both"/>
        <w:rPr>
          <w:rFonts w:ascii="Times New Roman" w:eastAsia="Times New Roman" w:hAnsi="Times New Roman" w:cs="Times New Roman"/>
          <w:color w:val="000000"/>
          <w:sz w:val="26"/>
          <w:szCs w:val="26"/>
        </w:rPr>
      </w:pPr>
      <w:r w:rsidRPr="0016585B">
        <w:rPr>
          <w:rFonts w:ascii="Times New Roman" w:eastAsia="Times New Roman" w:hAnsi="Times New Roman" w:cs="Times New Roman"/>
          <w:color w:val="000000"/>
          <w:sz w:val="26"/>
          <w:szCs w:val="26"/>
        </w:rPr>
        <w:lastRenderedPageBreak/>
        <w:t>Đối với các ngân hàng có trụ sở chính ngoài địa bàn thành phố Hà Nội hoặc trong những trường hợp cần thiết, Thống đốc NHNN có thể ủy quyền cho Giám đốc NHNN chi nhánh tỉnh, thành phố trực thuộc Trung ương thực hiện cho vay cầm cố đối với ngân hàng có trụ sở chính trên địa bàn. Quy trình thực hiện cho vay cầm cố tại NHNN chi nhánh tỉnh, thành phố như thực hiện tại Sở Giao dịch NHNN.</w:t>
      </w:r>
    </w:p>
    <w:p w:rsidR="00DE18E4" w:rsidRPr="0016585B" w:rsidRDefault="00DE18E4">
      <w:pPr>
        <w:rPr>
          <w:rFonts w:ascii="Times New Roman" w:hAnsi="Times New Roman" w:cs="Times New Roman"/>
          <w:sz w:val="26"/>
          <w:szCs w:val="26"/>
        </w:rPr>
      </w:pPr>
    </w:p>
    <w:sectPr w:rsidR="00DE18E4" w:rsidRPr="0016585B" w:rsidSect="00DE18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E98" w:rsidRDefault="006C6E98" w:rsidP="0016585B">
      <w:pPr>
        <w:spacing w:after="0" w:line="240" w:lineRule="auto"/>
      </w:pPr>
      <w:r>
        <w:separator/>
      </w:r>
    </w:p>
  </w:endnote>
  <w:endnote w:type="continuationSeparator" w:id="1">
    <w:p w:rsidR="006C6E98" w:rsidRDefault="006C6E98" w:rsidP="001658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5B" w:rsidRDefault="001658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6"/>
      <w:docPartObj>
        <w:docPartGallery w:val="Page Numbers (Bottom of Page)"/>
        <w:docPartUnique/>
      </w:docPartObj>
    </w:sdtPr>
    <w:sdtContent>
      <w:p w:rsidR="0016585B" w:rsidRDefault="0016585B">
        <w:pPr>
          <w:pStyle w:val="Footer"/>
          <w:jc w:val="center"/>
        </w:pPr>
        <w:fldSimple w:instr=" PAGE   \* MERGEFORMAT ">
          <w:r>
            <w:rPr>
              <w:noProof/>
            </w:rPr>
            <w:t>4</w:t>
          </w:r>
        </w:fldSimple>
      </w:p>
    </w:sdtContent>
  </w:sdt>
  <w:p w:rsidR="0016585B" w:rsidRDefault="0016585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5B" w:rsidRDefault="001658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E98" w:rsidRDefault="006C6E98" w:rsidP="0016585B">
      <w:pPr>
        <w:spacing w:after="0" w:line="240" w:lineRule="auto"/>
      </w:pPr>
      <w:r>
        <w:separator/>
      </w:r>
    </w:p>
  </w:footnote>
  <w:footnote w:type="continuationSeparator" w:id="1">
    <w:p w:rsidR="006C6E98" w:rsidRDefault="006C6E98" w:rsidP="001658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5B" w:rsidRDefault="001658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5B" w:rsidRDefault="001658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5B" w:rsidRDefault="0016585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16585B"/>
    <w:rsid w:val="0016585B"/>
    <w:rsid w:val="006C6E98"/>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58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585B"/>
    <w:rPr>
      <w:b/>
      <w:bCs/>
    </w:rPr>
  </w:style>
  <w:style w:type="character" w:customStyle="1" w:styleId="apple-converted-space">
    <w:name w:val="apple-converted-space"/>
    <w:basedOn w:val="DefaultParagraphFont"/>
    <w:rsid w:val="0016585B"/>
  </w:style>
  <w:style w:type="paragraph" w:styleId="Header">
    <w:name w:val="header"/>
    <w:basedOn w:val="Normal"/>
    <w:link w:val="HeaderChar"/>
    <w:uiPriority w:val="99"/>
    <w:semiHidden/>
    <w:unhideWhenUsed/>
    <w:rsid w:val="0016585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6585B"/>
  </w:style>
  <w:style w:type="paragraph" w:styleId="Footer">
    <w:name w:val="footer"/>
    <w:basedOn w:val="Normal"/>
    <w:link w:val="FooterChar"/>
    <w:uiPriority w:val="99"/>
    <w:unhideWhenUsed/>
    <w:rsid w:val="001658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85B"/>
  </w:style>
</w:styles>
</file>

<file path=word/webSettings.xml><?xml version="1.0" encoding="utf-8"?>
<w:webSettings xmlns:r="http://schemas.openxmlformats.org/officeDocument/2006/relationships" xmlns:w="http://schemas.openxmlformats.org/wordprocessingml/2006/main">
  <w:divs>
    <w:div w:id="35766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1044</Words>
  <Characters>5952</Characters>
  <Application>Microsoft Office Word</Application>
  <DocSecurity>0</DocSecurity>
  <Lines>49</Lines>
  <Paragraphs>13</Paragraphs>
  <ScaleCrop>false</ScaleCrop>
  <Company/>
  <LinksUpToDate>false</LinksUpToDate>
  <CharactersWithSpaces>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2011-12-02T11:20:00Z</dcterms:created>
  <dcterms:modified xsi:type="dcterms:W3CDTF">2011-12-02T11:21:00Z</dcterms:modified>
</cp:coreProperties>
</file>